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F2" w:rsidRDefault="003A1FF2">
      <w:pPr>
        <w:pStyle w:val="ConsPlusTitle"/>
        <w:jc w:val="center"/>
      </w:pPr>
    </w:p>
    <w:p w:rsidR="00882053" w:rsidRPr="00882053" w:rsidRDefault="00882053" w:rsidP="00882053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053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8090BA5" wp14:editId="6E10A4E9">
            <wp:simplePos x="0" y="0"/>
            <wp:positionH relativeFrom="column">
              <wp:posOffset>2385060</wp:posOffset>
            </wp:positionH>
            <wp:positionV relativeFrom="page">
              <wp:posOffset>542925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БАШКОРТОСТАН  РЕСПУБЛИКА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88205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88205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882053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882053" w:rsidRPr="00882053" w:rsidRDefault="00882053" w:rsidP="00882053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ЙƏРМƏКƏЙ РАЙОНЫ                                                                     Администрация  </w:t>
      </w:r>
      <w:proofErr w:type="gramStart"/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882053" w:rsidRPr="00882053" w:rsidRDefault="00882053" w:rsidP="00882053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МУНИЦИПАЛЬ РАЙОНЫНЫҢ  </w:t>
      </w:r>
      <w:proofErr w:type="gramStart"/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882053" w:rsidRPr="00882053" w:rsidRDefault="00882053" w:rsidP="00882053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 советы ауыл                                                                муниципального  района                   </w:t>
      </w:r>
    </w:p>
    <w:p w:rsidR="00882053" w:rsidRPr="00882053" w:rsidRDefault="00882053" w:rsidP="00882053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053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билəмəҺе  хакимиəте                                                                 Ермекеевский  район</w:t>
      </w:r>
    </w:p>
    <w:p w:rsidR="00882053" w:rsidRPr="00882053" w:rsidRDefault="00882053" w:rsidP="00882053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452181, </w:t>
      </w:r>
      <w:proofErr w:type="spellStart"/>
      <w:proofErr w:type="gramStart"/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882053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882053" w:rsidRPr="00882053" w:rsidRDefault="00882053" w:rsidP="00882053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882053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</w:t>
      </w:r>
      <w:r w:rsidRPr="0088205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882053" w:rsidRPr="00882053" w:rsidRDefault="00882053" w:rsidP="00882053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88205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C0015E" w:rsidRPr="00C0015E" w:rsidRDefault="00C0015E" w:rsidP="008820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C00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015E" w:rsidRPr="00C0015E" w:rsidRDefault="00882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1FF2" w:rsidRPr="00C001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 декабря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2019 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 г. </w:t>
      </w:r>
      <w:r w:rsidR="00C001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55/1</w:t>
      </w:r>
    </w:p>
    <w:p w:rsidR="003A1FF2" w:rsidRPr="00C0015E" w:rsidRDefault="003A1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</w:t>
      </w:r>
      <w:r w:rsidR="006E2C5E" w:rsidRPr="006E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5E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6E2C5E">
        <w:rPr>
          <w:rFonts w:ascii="Times New Roman" w:hAnsi="Times New Roman" w:cs="Times New Roman"/>
          <w:sz w:val="28"/>
          <w:szCs w:val="28"/>
        </w:rPr>
        <w:t xml:space="preserve">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3A1FF2" w:rsidRPr="00C0015E" w:rsidRDefault="003A1F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остановляю</w:t>
      </w:r>
      <w:r w:rsidRPr="00C0015E">
        <w:rPr>
          <w:rFonts w:ascii="Times New Roman" w:hAnsi="Times New Roman" w:cs="Times New Roman"/>
          <w:sz w:val="28"/>
          <w:szCs w:val="28"/>
        </w:rPr>
        <w:t>:</w:t>
      </w:r>
    </w:p>
    <w:p w:rsidR="00DE4A35" w:rsidRPr="00C0015E" w:rsidRDefault="00DE4A35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9969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="00C0015E" w:rsidRPr="00C00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5E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6E2C5E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99694A" w:rsidRPr="0099694A" w:rsidRDefault="0099694A" w:rsidP="0099694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 сайте</w:t>
      </w:r>
      <w:r w:rsidR="006E2C5E">
        <w:rPr>
          <w:rFonts w:ascii="Times New Roman" w:hAnsi="Times New Roman"/>
          <w:sz w:val="28"/>
          <w:szCs w:val="28"/>
        </w:rPr>
        <w:t xml:space="preserve"> </w:t>
      </w:r>
      <w:r w:rsidRPr="0099694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6E2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C5E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="006E2C5E">
        <w:rPr>
          <w:rFonts w:ascii="Times New Roman" w:hAnsi="Times New Roman"/>
          <w:sz w:val="28"/>
          <w:szCs w:val="28"/>
        </w:rPr>
        <w:t xml:space="preserve"> р</w:t>
      </w:r>
      <w:r w:rsidRPr="0099694A">
        <w:rPr>
          <w:rFonts w:ascii="Times New Roman" w:hAnsi="Times New Roman"/>
          <w:sz w:val="28"/>
          <w:szCs w:val="28"/>
        </w:rPr>
        <w:t xml:space="preserve">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>информационном стенде в здании Администрации сельского поселения</w:t>
      </w:r>
      <w:r w:rsidR="006E2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C5E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         Башкортостан.</w:t>
      </w:r>
    </w:p>
    <w:p w:rsidR="003A1FF2" w:rsidRPr="00C0015E" w:rsidRDefault="0099694A" w:rsidP="0099694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FF2" w:rsidRPr="00C00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F2" w:rsidRPr="00C0015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015E" w:rsidRPr="00C0015E">
        <w:rPr>
          <w:rFonts w:ascii="Times New Roman" w:hAnsi="Times New Roman" w:cs="Times New Roman"/>
          <w:sz w:val="28"/>
          <w:szCs w:val="28"/>
        </w:rPr>
        <w:t>Постановления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15E" w:rsidRDefault="00C0015E" w:rsidP="006E2C5E">
      <w:pPr>
        <w:pStyle w:val="ConsPlusNormal"/>
        <w:tabs>
          <w:tab w:val="center" w:pos="4954"/>
        </w:tabs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E2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6E2C5E">
        <w:rPr>
          <w:rFonts w:ascii="Times New Roman" w:hAnsi="Times New Roman" w:cs="Times New Roman"/>
          <w:sz w:val="28"/>
          <w:szCs w:val="28"/>
        </w:rPr>
        <w:t>И.В.Калимуллин</w:t>
      </w:r>
      <w:proofErr w:type="spellEnd"/>
      <w:r w:rsidR="006E2C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2C5E" w:rsidRDefault="006E2C5E" w:rsidP="006E2C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C5E" w:rsidRDefault="006E2C5E" w:rsidP="006E2C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C5E" w:rsidRDefault="006E2C5E" w:rsidP="006E2C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2C5E" w:rsidRDefault="006E2C5E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882053" w:rsidRDefault="00882053" w:rsidP="006E2C5E">
      <w:pPr>
        <w:pStyle w:val="ConsPlusNormal"/>
        <w:jc w:val="center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119"/>
      </w:tblGrid>
      <w:tr w:rsidR="003F0140" w:rsidTr="00C0015E">
        <w:tc>
          <w:tcPr>
            <w:tcW w:w="5340" w:type="dxa"/>
          </w:tcPr>
          <w:p w:rsidR="00C0015E" w:rsidRDefault="00C0015E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C0015E" w:rsidRPr="00C0015E" w:rsidRDefault="00C0015E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C0015E" w:rsidRDefault="003F0140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5E"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0015E" w:rsidRDefault="00C0015E" w:rsidP="003F0140">
            <w:pPr>
              <w:pStyle w:val="ConsPlusNormal"/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F014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14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3F0140">
              <w:rPr>
                <w:rFonts w:ascii="Times New Roman" w:hAnsi="Times New Roman" w:cs="Times New Roman"/>
                <w:sz w:val="24"/>
                <w:szCs w:val="24"/>
              </w:rPr>
              <w:t xml:space="preserve"> 55/1</w:t>
            </w:r>
          </w:p>
        </w:tc>
      </w:tr>
    </w:tbl>
    <w:p w:rsidR="003A1FF2" w:rsidRDefault="003A1FF2">
      <w:pPr>
        <w:pStyle w:val="ConsPlusNormal"/>
        <w:jc w:val="center"/>
      </w:pPr>
    </w:p>
    <w:p w:rsidR="00C0015E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379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4A35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3A1FF2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C0015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3103E"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03E"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C0015E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 w:rsidR="0003103E" w:rsidRPr="00437916">
        <w:rPr>
          <w:rFonts w:ascii="Times New Roman" w:hAnsi="Times New Roman" w:cs="Times New Roman"/>
          <w:sz w:val="28"/>
          <w:szCs w:val="28"/>
        </w:rPr>
        <w:t>главой 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II.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</w:p>
    <w:p w:rsidR="003A1FF2" w:rsidRPr="00437916" w:rsidRDefault="007F167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Показатели для кассового плана по кассовым поступлениям доходов бюджета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и </w:t>
      </w:r>
      <w:r w:rsidR="007F1672" w:rsidRPr="00437916">
        <w:rPr>
          <w:rFonts w:ascii="Times New Roman" w:hAnsi="Times New Roman" w:cs="Times New Roman"/>
          <w:sz w:val="28"/>
          <w:szCs w:val="28"/>
        </w:rPr>
        <w:t>иных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1672" w:rsidRPr="00437916">
        <w:rPr>
          <w:rFonts w:ascii="Times New Roman" w:hAnsi="Times New Roman" w:cs="Times New Roman"/>
          <w:sz w:val="28"/>
          <w:szCs w:val="28"/>
        </w:rPr>
        <w:t>ов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(далее - субъекты бюджетного планирования)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7F1672"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79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F1672" w:rsidRPr="00437916">
        <w:rPr>
          <w:rFonts w:ascii="Times New Roman" w:hAnsi="Times New Roman" w:cs="Times New Roman"/>
          <w:sz w:val="28"/>
          <w:szCs w:val="28"/>
        </w:rPr>
        <w:t>»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год: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="00171851" w:rsidRPr="00D6067C">
        <w:rPr>
          <w:rFonts w:ascii="Times New Roman" w:hAnsi="Times New Roman" w:cs="Times New Roman"/>
          <w:sz w:val="28"/>
          <w:szCs w:val="28"/>
        </w:rPr>
        <w:t>,</w:t>
      </w:r>
      <w:r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171851" w:rsidRPr="00D6067C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Pr="00D6067C">
        <w:rPr>
          <w:rFonts w:ascii="Times New Roman" w:hAnsi="Times New Roman" w:cs="Times New Roman"/>
          <w:sz w:val="28"/>
          <w:szCs w:val="28"/>
        </w:rPr>
        <w:t xml:space="preserve">в </w:t>
      </w:r>
      <w:r w:rsidR="0003103E" w:rsidRPr="00D6067C">
        <w:rPr>
          <w:rFonts w:ascii="Times New Roman" w:hAnsi="Times New Roman" w:cs="Times New Roman"/>
          <w:sz w:val="28"/>
          <w:szCs w:val="28"/>
        </w:rPr>
        <w:t>Финансов</w:t>
      </w:r>
      <w:r w:rsidR="00AC7B66" w:rsidRPr="00D6067C">
        <w:rPr>
          <w:rFonts w:ascii="Times New Roman" w:hAnsi="Times New Roman" w:cs="Times New Roman"/>
          <w:sz w:val="28"/>
          <w:szCs w:val="28"/>
        </w:rPr>
        <w:t>ый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AC7B66" w:rsidRPr="00D6067C">
        <w:rPr>
          <w:rFonts w:ascii="Times New Roman" w:hAnsi="Times New Roman" w:cs="Times New Roman"/>
          <w:sz w:val="28"/>
          <w:szCs w:val="28"/>
        </w:rPr>
        <w:t>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с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103E" w:rsidRPr="00D6067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3103E"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4F0F5B" w:rsidRPr="00D606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67C" w:rsidRPr="00D6067C">
        <w:rPr>
          <w:rFonts w:ascii="Times New Roman" w:hAnsi="Times New Roman" w:cs="Times New Roman"/>
          <w:sz w:val="28"/>
          <w:szCs w:val="28"/>
        </w:rPr>
        <w:t>ый  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>)</w:t>
      </w:r>
      <w:r w:rsidR="00171851" w:rsidRPr="00D6067C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налоговым и неналоговым доходам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четвертого рабочего дня текущего месяца, по безвозмездным поступлениям ежемесячно, не позднее пято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 в  </w:t>
      </w:r>
      <w:r w:rsidR="004F0F5B" w:rsidRPr="00437916">
        <w:rPr>
          <w:rFonts w:ascii="Times New Roman" w:hAnsi="Times New Roman" w:cs="Times New Roman"/>
          <w:sz w:val="28"/>
          <w:szCs w:val="28"/>
        </w:rPr>
        <w:t>Ф</w:t>
      </w:r>
      <w:r w:rsidR="00A65D43">
        <w:rPr>
          <w:rFonts w:ascii="Times New Roman" w:hAnsi="Times New Roman" w:cs="Times New Roman"/>
          <w:sz w:val="28"/>
          <w:szCs w:val="28"/>
        </w:rPr>
        <w:t>инансов</w:t>
      </w:r>
      <w:r w:rsidR="00D6067C">
        <w:rPr>
          <w:rFonts w:ascii="Times New Roman" w:hAnsi="Times New Roman" w:cs="Times New Roman"/>
          <w:sz w:val="28"/>
          <w:szCs w:val="28"/>
        </w:rPr>
        <w:t>ый орган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F5B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4F0F5B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F0F5B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формирует сведения о помесячном распределении поступлений налоговых и неналоговых доходов в бюджет (приложение </w:t>
      </w:r>
      <w:r w:rsidR="00437916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настоящему Порядку)</w:t>
      </w:r>
      <w:r w:rsidR="005A6DBC" w:rsidRPr="00437916">
        <w:rPr>
          <w:rFonts w:ascii="Times New Roman" w:hAnsi="Times New Roman" w:cs="Times New Roman"/>
          <w:sz w:val="28"/>
          <w:szCs w:val="28"/>
        </w:rPr>
        <w:t>: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D88" w:rsidRPr="00437916" w:rsidRDefault="003A1FF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37916">
        <w:rPr>
          <w:rFonts w:ascii="Times New Roman" w:hAnsi="Times New Roman" w:cs="Times New Roman"/>
          <w:sz w:val="28"/>
          <w:szCs w:val="28"/>
        </w:rPr>
        <w:t xml:space="preserve">III. </w:t>
      </w:r>
      <w:r w:rsidR="00433D88" w:rsidRPr="00437916">
        <w:rPr>
          <w:rFonts w:ascii="Times New Roman" w:hAnsi="Times New Roman" w:cs="Times New Roman"/>
          <w:sz w:val="28"/>
          <w:szCs w:val="28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40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3F0140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6E2C5E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далее - главные распорядители)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433D88" w:rsidRPr="00437916">
        <w:rPr>
          <w:rFonts w:ascii="Times New Roman" w:hAnsi="Times New Roman" w:cs="Times New Roman"/>
          <w:sz w:val="28"/>
          <w:szCs w:val="28"/>
        </w:rPr>
        <w:t>решения Совета сельского поселения</w:t>
      </w:r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3A1FF2" w:rsidRPr="00D6067C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65D43" w:rsidRPr="00D6067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B6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proofErr w:type="spellStart"/>
      <w:r w:rsidRPr="00437916">
        <w:rPr>
          <w:rFonts w:ascii="Times New Roman" w:hAnsi="Times New Roman" w:cs="Times New Roman"/>
          <w:sz w:val="28"/>
          <w:szCs w:val="28"/>
        </w:rPr>
        <w:t>IV.</w:t>
      </w:r>
      <w:r w:rsidR="00C75B62" w:rsidRPr="00437916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C75B62" w:rsidRPr="00437916">
        <w:rPr>
          <w:rFonts w:ascii="Times New Roman" w:hAnsi="Times New Roman" w:cs="Times New Roman"/>
          <w:sz w:val="28"/>
          <w:szCs w:val="28"/>
        </w:rPr>
        <w:t xml:space="preserve"> составления, уточнения и представления показателей </w:t>
      </w:r>
    </w:p>
    <w:p w:rsidR="003A1FF2" w:rsidRPr="00437916" w:rsidRDefault="00C75B6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6E2C5E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FE3B7C" w:rsidRPr="00437916">
        <w:rPr>
          <w:rFonts w:ascii="Times New Roman" w:hAnsi="Times New Roman" w:cs="Times New Roman"/>
          <w:sz w:val="28"/>
          <w:szCs w:val="28"/>
        </w:rPr>
        <w:t>решения Совета сельского поселения</w:t>
      </w:r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», </w:t>
      </w:r>
      <w:r w:rsidRPr="00D6067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67C">
        <w:rPr>
          <w:rFonts w:ascii="Times New Roman" w:hAnsi="Times New Roman" w:cs="Times New Roman"/>
          <w:sz w:val="28"/>
          <w:szCs w:val="28"/>
        </w:rPr>
        <w:t>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>формирует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FE3B7C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FE3B7C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января года, следующего за отчетным, 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дл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я осуществления ими полномочий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закрепленные коды) формируют в электронном виде </w:t>
      </w:r>
      <w:r w:rsidR="00D6067C"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6067C"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D6067C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</w:t>
      </w:r>
      <w:r w:rsidRPr="00D6067C">
        <w:rPr>
          <w:rFonts w:ascii="Times New Roman" w:hAnsi="Times New Roman" w:cs="Times New Roman"/>
          <w:sz w:val="28"/>
          <w:szCs w:val="28"/>
        </w:rPr>
        <w:t>е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</w:t>
      </w:r>
      <w:r w:rsidRPr="00D6067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380" w:history="1">
        <w:r w:rsidR="003A1FF2"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D606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(приложение </w:t>
      </w:r>
      <w:r w:rsidR="00A65D43" w:rsidRPr="00D6067C">
        <w:rPr>
          <w:rFonts w:ascii="Times New Roman" w:hAnsi="Times New Roman" w:cs="Times New Roman"/>
          <w:sz w:val="28"/>
          <w:szCs w:val="28"/>
        </w:rPr>
        <w:t>№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516E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</w:t>
      </w:r>
      <w:r w:rsidR="0016680D" w:rsidRPr="00437916">
        <w:rPr>
          <w:rFonts w:ascii="Times New Roman" w:hAnsi="Times New Roman" w:cs="Times New Roman"/>
          <w:sz w:val="28"/>
          <w:szCs w:val="28"/>
        </w:rPr>
        <w:t>Порядок свода, составления и ведения кассового плана исполнения бюджета сельского поселения</w:t>
      </w:r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680D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6680D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вносит остаток на едином счете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A65D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134B4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r w:rsidR="00761805" w:rsidRPr="00437916">
        <w:rPr>
          <w:rFonts w:ascii="Times New Roman" w:hAnsi="Times New Roman" w:cs="Times New Roman"/>
          <w:sz w:val="28"/>
          <w:szCs w:val="28"/>
        </w:rPr>
        <w:t>решения Совета сельского поселения</w:t>
      </w:r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882053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882053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подлежат согласованию </w:t>
      </w:r>
      <w:r w:rsidR="00761805" w:rsidRPr="00437916">
        <w:rPr>
          <w:rFonts w:ascii="Times New Roman" w:hAnsi="Times New Roman" w:cs="Times New Roman"/>
          <w:sz w:val="28"/>
          <w:szCs w:val="28"/>
        </w:rPr>
        <w:t>Финансовым</w:t>
      </w:r>
      <w:r w:rsidR="00134B4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</w:t>
      </w:r>
      <w:bookmarkStart w:id="4" w:name="_GoBack"/>
      <w:bookmarkEnd w:id="4"/>
      <w:r w:rsidRPr="00437916">
        <w:rPr>
          <w:rFonts w:ascii="Times New Roman" w:hAnsi="Times New Roman" w:cs="Times New Roman"/>
          <w:sz w:val="28"/>
          <w:szCs w:val="28"/>
        </w:rPr>
        <w:t>ями, не влияющими на общую структуру показателей кассового плана.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37916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1F0F57" w:rsidRDefault="001F0F57">
      <w:pPr>
        <w:pStyle w:val="ConsPlusNormal"/>
        <w:jc w:val="right"/>
        <w:sectPr w:rsidR="001F0F57" w:rsidSect="00C0015E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1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A65D43" w:rsidRDefault="0088205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Рятамакский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62"/>
      <w:bookmarkEnd w:id="5"/>
      <w:r w:rsidRPr="004F4DE9">
        <w:rPr>
          <w:rFonts w:ascii="Times New Roman" w:hAnsi="Times New Roman" w:cs="Times New Roman"/>
          <w:sz w:val="16"/>
        </w:rPr>
        <w:t>СВЕДЕНИЯ О</w:t>
      </w: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4F4DE9" w:rsidRPr="004F4DE9" w:rsidRDefault="004F4DE9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</w:t>
      </w:r>
      <w:r w:rsidR="003A1FF2" w:rsidRPr="004F4DE9">
        <w:rPr>
          <w:rFonts w:ascii="Times New Roman" w:hAnsi="Times New Roman" w:cs="Times New Roman"/>
          <w:sz w:val="16"/>
        </w:rPr>
        <w:t xml:space="preserve">В БЮДЖЕТ </w:t>
      </w:r>
      <w:r w:rsidRPr="004F4DE9">
        <w:rPr>
          <w:rFonts w:ascii="Times New Roman" w:hAnsi="Times New Roman" w:cs="Times New Roman"/>
          <w:sz w:val="16"/>
        </w:rPr>
        <w:t xml:space="preserve">  СЕЛЬСКОГО ПОСЕЛЕНИЯ</w:t>
      </w:r>
      <w:r w:rsidR="00882053">
        <w:rPr>
          <w:rFonts w:ascii="Times New Roman" w:hAnsi="Times New Roman" w:cs="Times New Roman"/>
          <w:sz w:val="16"/>
        </w:rPr>
        <w:t xml:space="preserve">  РЯТАМАКСКИЙ 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3A1FF2" w:rsidRDefault="004F4DE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</w:t>
      </w:r>
      <w:r w:rsidR="00A65D43">
        <w:rPr>
          <w:sz w:val="16"/>
        </w:rPr>
        <w:t>№</w:t>
      </w:r>
      <w:r>
        <w:rPr>
          <w:sz w:val="16"/>
        </w:rPr>
        <w:t xml:space="preserve">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A65D43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2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4F4DE9" w:rsidRDefault="0088205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Рятамакский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272"/>
      <w:bookmarkEnd w:id="6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 СЕЛЬСКОГО ПОСЕЛЕНИЯ</w:t>
      </w:r>
      <w:r w:rsidR="00882053">
        <w:rPr>
          <w:rFonts w:ascii="Times New Roman" w:hAnsi="Times New Roman" w:cs="Times New Roman"/>
          <w:sz w:val="16"/>
        </w:rPr>
        <w:t xml:space="preserve"> РЯТАМАКСКИЙ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A65D43" w:rsidRDefault="00A65D43">
      <w:pPr>
        <w:pStyle w:val="ConsPlusNonformat"/>
        <w:jc w:val="both"/>
        <w:rPr>
          <w:sz w:val="16"/>
        </w:rPr>
      </w:pP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</w:t>
      </w:r>
      <w:r w:rsidR="003A1FF2">
        <w:rPr>
          <w:sz w:val="16"/>
        </w:rPr>
        <w:t xml:space="preserve">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Default="00DC79AC" w:rsidP="00DC79AC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DC79AC" w:rsidRDefault="00DC79AC">
      <w:pPr>
        <w:pStyle w:val="ConsPlusNormal"/>
        <w:jc w:val="right"/>
        <w:outlineLvl w:val="1"/>
      </w:pPr>
    </w:p>
    <w:p w:rsidR="003A1FF2" w:rsidRPr="00A65D43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A65D43" w:rsidRPr="00A65D43">
        <w:rPr>
          <w:rFonts w:ascii="Times New Roman" w:hAnsi="Times New Roman" w:cs="Times New Roman"/>
          <w:sz w:val="20"/>
        </w:rPr>
        <w:t>№</w:t>
      </w:r>
      <w:r w:rsidRPr="00A65D43">
        <w:rPr>
          <w:rFonts w:ascii="Times New Roman" w:hAnsi="Times New Roman" w:cs="Times New Roman"/>
          <w:sz w:val="20"/>
        </w:rPr>
        <w:t xml:space="preserve"> 3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3A1FF2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</w:t>
      </w:r>
      <w:r w:rsidR="00A65D43" w:rsidRPr="00A65D43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65D43" w:rsidRPr="00A65D43" w:rsidRDefault="0088205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Рятамакский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3A1FF2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Default="003A1FF2">
      <w:pPr>
        <w:spacing w:after="1"/>
      </w:pPr>
    </w:p>
    <w:p w:rsidR="003A1FF2" w:rsidRPr="004F4DE9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4F4DE9">
        <w:rPr>
          <w:rFonts w:ascii="Times New Roman" w:hAnsi="Times New Roman" w:cs="Times New Roman"/>
          <w:sz w:val="16"/>
        </w:rPr>
        <w:t>СЕЛЬСКОГО ПОСЕЛЕНИЯ</w:t>
      </w:r>
      <w:r w:rsidR="00882053">
        <w:rPr>
          <w:rFonts w:ascii="Times New Roman" w:hAnsi="Times New Roman" w:cs="Times New Roman"/>
          <w:sz w:val="16"/>
        </w:rPr>
        <w:t xml:space="preserve"> РЯТАМАКСКИЙ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A65D43" w:rsidRPr="004F4DE9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</w:t>
      </w:r>
      <w:r w:rsidR="003A1FF2">
        <w:rPr>
          <w:sz w:val="16"/>
        </w:rPr>
        <w:t xml:space="preserve"> ___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A65D43">
        <w:rPr>
          <w:sz w:val="16"/>
        </w:rPr>
        <w:t xml:space="preserve">     </w:t>
      </w:r>
      <w:r>
        <w:rPr>
          <w:sz w:val="16"/>
        </w:rPr>
        <w:t>____________________________________________________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5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882053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Рятамакский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</w:t>
      </w:r>
      <w:r w:rsidR="00DC79AC" w:rsidRPr="004F4DE9">
        <w:rPr>
          <w:rFonts w:ascii="Times New Roman" w:hAnsi="Times New Roman" w:cs="Times New Roman"/>
        </w:rPr>
        <w:t>Глава сельского поселения</w:t>
      </w:r>
    </w:p>
    <w:p w:rsidR="00DC79AC" w:rsidRPr="004F4DE9" w:rsidRDefault="00882053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РЯТАМАКСКИЙ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693"/>
      <w:bookmarkEnd w:id="8"/>
      <w:r w:rsidRPr="004F4DE9">
        <w:rPr>
          <w:rFonts w:ascii="Times New Roman" w:hAnsi="Times New Roman" w:cs="Times New Roman"/>
        </w:rPr>
        <w:t>КАССОВЫЙ ПЛАН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="00DC79AC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882053">
        <w:rPr>
          <w:rFonts w:ascii="Times New Roman" w:hAnsi="Times New Roman" w:cs="Times New Roman"/>
          <w:sz w:val="16"/>
        </w:rPr>
        <w:t>РЯТАМАКСКИЙ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</w:t>
      </w:r>
      <w:r w:rsidR="003A1FF2" w:rsidRPr="004F4DE9">
        <w:rPr>
          <w:rFonts w:ascii="Times New Roman" w:hAnsi="Times New Roman" w:cs="Times New Roman"/>
        </w:rPr>
        <w:t>на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</w:t>
      </w:r>
      <w:r w:rsidR="00882053">
        <w:rPr>
          <w:rFonts w:ascii="Times New Roman" w:hAnsi="Times New Roman" w:cs="Times New Roman"/>
          <w:sz w:val="16"/>
        </w:rPr>
        <w:t xml:space="preserve"> РЯТАМАКСКИЙ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3A1FF2" w:rsidRPr="004F4DE9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8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882053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Рятамакский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D574E" w:rsidRPr="00A65D43" w:rsidRDefault="00AD574E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387"/>
      <w:bookmarkEnd w:id="9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4F4DE9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882053">
        <w:rPr>
          <w:rFonts w:ascii="Times New Roman" w:hAnsi="Times New Roman" w:cs="Times New Roman"/>
          <w:sz w:val="22"/>
          <w:szCs w:val="22"/>
        </w:rPr>
        <w:t xml:space="preserve"> РЯТАМАКСКИЙ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</w:t>
      </w:r>
      <w:r w:rsidR="00882053">
        <w:rPr>
          <w:rFonts w:ascii="Times New Roman" w:hAnsi="Times New Roman" w:cs="Times New Roman"/>
          <w:sz w:val="16"/>
        </w:rPr>
        <w:t xml:space="preserve"> РЯТАМАКСКИЙ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1F0F57" w:rsidRPr="004F4DE9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Default="00A63615"/>
    <w:sectPr w:rsidR="00A63615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2"/>
    <w:rsid w:val="0003103E"/>
    <w:rsid w:val="00134B4E"/>
    <w:rsid w:val="00146505"/>
    <w:rsid w:val="0016680D"/>
    <w:rsid w:val="00171851"/>
    <w:rsid w:val="001E443F"/>
    <w:rsid w:val="001F0F57"/>
    <w:rsid w:val="00370D82"/>
    <w:rsid w:val="003806FC"/>
    <w:rsid w:val="003A1FF2"/>
    <w:rsid w:val="003F0140"/>
    <w:rsid w:val="00432EED"/>
    <w:rsid w:val="00433D88"/>
    <w:rsid w:val="00437916"/>
    <w:rsid w:val="004F0F5B"/>
    <w:rsid w:val="004F4DE9"/>
    <w:rsid w:val="005A6DBC"/>
    <w:rsid w:val="00684CC8"/>
    <w:rsid w:val="006E2C5E"/>
    <w:rsid w:val="00761805"/>
    <w:rsid w:val="007F1672"/>
    <w:rsid w:val="00804696"/>
    <w:rsid w:val="00882053"/>
    <w:rsid w:val="00991FBC"/>
    <w:rsid w:val="0099694A"/>
    <w:rsid w:val="00A27207"/>
    <w:rsid w:val="00A63615"/>
    <w:rsid w:val="00A65D43"/>
    <w:rsid w:val="00AC7B66"/>
    <w:rsid w:val="00AD574E"/>
    <w:rsid w:val="00B667C9"/>
    <w:rsid w:val="00C0015E"/>
    <w:rsid w:val="00C516EF"/>
    <w:rsid w:val="00C75B62"/>
    <w:rsid w:val="00D6067C"/>
    <w:rsid w:val="00D94737"/>
    <w:rsid w:val="00DA4657"/>
    <w:rsid w:val="00DC79AC"/>
    <w:rsid w:val="00DE4A35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ryatamak_@mail.ru</cp:lastModifiedBy>
  <cp:revision>2</cp:revision>
  <cp:lastPrinted>2019-12-18T05:55:00Z</cp:lastPrinted>
  <dcterms:created xsi:type="dcterms:W3CDTF">2019-12-18T05:55:00Z</dcterms:created>
  <dcterms:modified xsi:type="dcterms:W3CDTF">2019-12-18T05:55:00Z</dcterms:modified>
</cp:coreProperties>
</file>